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76"/>
        <w:ind w:right="0" w:left="0" w:firstLine="0"/>
        <w:jc w:val="center"/>
        <w:rPr>
          <w:rFonts w:ascii="Arial Black" w:hAnsi="Arial Black" w:cs="Arial Black" w:eastAsia="Arial Black"/>
          <w:b/>
          <w:color w:val="auto"/>
          <w:spacing w:val="0"/>
          <w:position w:val="0"/>
          <w:sz w:val="30"/>
          <w:shd w:fill="auto" w:val="clear"/>
        </w:rPr>
      </w:pPr>
      <w:r>
        <w:rPr>
          <w:rFonts w:ascii="Arial Black" w:hAnsi="Arial Black" w:cs="Arial Black" w:eastAsia="Arial Black"/>
          <w:b/>
          <w:color w:val="auto"/>
          <w:spacing w:val="0"/>
          <w:position w:val="0"/>
          <w:sz w:val="30"/>
          <w:shd w:fill="auto" w:val="clear"/>
        </w:rPr>
        <w:t xml:space="preserve">UNIUNEA NAȚIONAL</w:t>
      </w:r>
      <w:r>
        <w:rPr>
          <w:rFonts w:ascii="Arial Black" w:hAnsi="Arial Black" w:cs="Arial Black" w:eastAsia="Arial Black"/>
          <w:b/>
          <w:color w:val="auto"/>
          <w:spacing w:val="0"/>
          <w:position w:val="0"/>
          <w:sz w:val="30"/>
          <w:shd w:fill="auto" w:val="clear"/>
        </w:rPr>
        <w:t xml:space="preserve">Ă A BAROURILOR DIN ROMÂNIA</w:t>
      </w:r>
    </w:p>
    <w:p>
      <w:pPr>
        <w:spacing w:before="0" w:after="0" w:line="276"/>
        <w:ind w:right="0" w:left="0" w:firstLine="0"/>
        <w:jc w:val="center"/>
        <w:rPr>
          <w:rFonts w:ascii="Arial" w:hAnsi="Arial" w:cs="Arial" w:eastAsia="Arial"/>
          <w:b/>
          <w:i/>
          <w:color w:val="auto"/>
          <w:spacing w:val="0"/>
          <w:position w:val="0"/>
          <w:sz w:val="36"/>
          <w:shd w:fill="auto" w:val="clear"/>
        </w:rPr>
      </w:pPr>
      <w:r>
        <w:rPr>
          <w:rFonts w:ascii="Arial" w:hAnsi="Arial" w:cs="Arial" w:eastAsia="Arial"/>
          <w:b/>
          <w:i/>
          <w:color w:val="auto"/>
          <w:spacing w:val="0"/>
          <w:position w:val="0"/>
          <w:sz w:val="36"/>
          <w:shd w:fill="auto" w:val="clear"/>
        </w:rPr>
        <w:t xml:space="preserve">COMISIA PERMANENT</w:t>
      </w:r>
      <w:r>
        <w:rPr>
          <w:rFonts w:ascii="Arial" w:hAnsi="Arial" w:cs="Arial" w:eastAsia="Arial"/>
          <w:b/>
          <w:i/>
          <w:color w:val="auto"/>
          <w:spacing w:val="0"/>
          <w:position w:val="0"/>
          <w:sz w:val="36"/>
          <w:shd w:fill="auto" w:val="clear"/>
        </w:rPr>
        <w:t xml:space="preserve">Ă</w:t>
      </w:r>
    </w:p>
    <w:p>
      <w:pPr>
        <w:spacing w:before="0" w:after="0" w:line="276"/>
        <w:ind w:right="0" w:left="0" w:firstLine="0"/>
        <w:jc w:val="center"/>
        <w:rPr>
          <w:rFonts w:ascii="Verdana" w:hAnsi="Verdana" w:cs="Verdana" w:eastAsia="Verdana"/>
          <w:color w:val="auto"/>
          <w:spacing w:val="0"/>
          <w:position w:val="0"/>
          <w:sz w:val="22"/>
          <w:shd w:fill="auto" w:val="clear"/>
        </w:rPr>
      </w:pPr>
    </w:p>
    <w:p>
      <w:pPr>
        <w:spacing w:before="0" w:after="0" w:line="276"/>
        <w:ind w:right="0" w:left="0" w:firstLine="0"/>
        <w:jc w:val="center"/>
        <w:rPr>
          <w:rFonts w:ascii="Verdana" w:hAnsi="Verdana" w:cs="Verdana" w:eastAsia="Verdana"/>
          <w:color w:val="auto"/>
          <w:spacing w:val="0"/>
          <w:position w:val="0"/>
          <w:sz w:val="22"/>
          <w:shd w:fill="auto" w:val="clear"/>
        </w:rPr>
      </w:pPr>
    </w:p>
    <w:p>
      <w:pPr>
        <w:spacing w:before="0" w:after="0" w:line="276"/>
        <w:ind w:right="0" w:left="0" w:firstLine="0"/>
        <w:jc w:val="center"/>
        <w:rPr>
          <w:rFonts w:ascii="Verdana" w:hAnsi="Verdana" w:cs="Verdana" w:eastAsia="Verdana"/>
          <w:color w:val="auto"/>
          <w:spacing w:val="0"/>
          <w:position w:val="0"/>
          <w:sz w:val="22"/>
          <w:shd w:fill="auto" w:val="clear"/>
        </w:rPr>
      </w:pPr>
    </w:p>
    <w:p>
      <w:pPr>
        <w:spacing w:before="0" w:after="0" w:line="276"/>
        <w:ind w:right="0" w:left="0" w:firstLine="0"/>
        <w:jc w:val="center"/>
        <w:rPr>
          <w:rFonts w:ascii="Verdana" w:hAnsi="Verdana" w:cs="Verdana" w:eastAsia="Verdana"/>
          <w:color w:val="auto"/>
          <w:spacing w:val="0"/>
          <w:position w:val="0"/>
          <w:sz w:val="22"/>
          <w:shd w:fill="auto" w:val="clear"/>
        </w:rPr>
      </w:pPr>
    </w:p>
    <w:p>
      <w:pPr>
        <w:spacing w:before="0" w:after="0" w:line="276"/>
        <w:ind w:right="0" w:left="0" w:firstLine="0"/>
        <w:jc w:val="center"/>
        <w:rPr>
          <w:rFonts w:ascii="Arial Black" w:hAnsi="Arial Black" w:cs="Arial Black" w:eastAsia="Arial Black"/>
          <w:b/>
          <w:color w:val="auto"/>
          <w:spacing w:val="0"/>
          <w:position w:val="0"/>
          <w:sz w:val="28"/>
          <w:u w:val="single"/>
          <w:shd w:fill="auto" w:val="clear"/>
        </w:rPr>
      </w:pPr>
      <w:r>
        <w:rPr>
          <w:rFonts w:ascii="Arial Black" w:hAnsi="Arial Black" w:cs="Arial Black" w:eastAsia="Arial Black"/>
          <w:b/>
          <w:color w:val="auto"/>
          <w:spacing w:val="0"/>
          <w:position w:val="0"/>
          <w:sz w:val="28"/>
          <w:u w:val="single"/>
          <w:shd w:fill="auto" w:val="clear"/>
        </w:rPr>
        <w:t xml:space="preserve">DECIZIE nr. 303</w:t>
      </w:r>
    </w:p>
    <w:p>
      <w:pPr>
        <w:spacing w:before="0" w:after="0" w:line="276"/>
        <w:ind w:right="0" w:left="0" w:firstLine="0"/>
        <w:jc w:val="center"/>
        <w:rPr>
          <w:rFonts w:ascii="Arial Black" w:hAnsi="Arial Black" w:cs="Arial Black" w:eastAsia="Arial Black"/>
          <w:b/>
          <w:i/>
          <w:color w:val="auto"/>
          <w:spacing w:val="0"/>
          <w:position w:val="0"/>
          <w:sz w:val="28"/>
          <w:shd w:fill="auto" w:val="clear"/>
        </w:rPr>
      </w:pPr>
      <w:r>
        <w:rPr>
          <w:rFonts w:ascii="Arial Black" w:hAnsi="Arial Black" w:cs="Arial Black" w:eastAsia="Arial Black"/>
          <w:b/>
          <w:i/>
          <w:color w:val="auto"/>
          <w:spacing w:val="0"/>
          <w:position w:val="0"/>
          <w:sz w:val="28"/>
          <w:shd w:fill="auto" w:val="clear"/>
        </w:rPr>
        <w:t xml:space="preserve">22 martie 2018</w:t>
      </w:r>
    </w:p>
    <w:p>
      <w:pPr>
        <w:spacing w:before="0" w:after="0" w:line="276"/>
        <w:ind w:right="0" w:left="0" w:firstLine="0"/>
        <w:jc w:val="both"/>
        <w:rPr>
          <w:rFonts w:ascii="Calibri" w:hAnsi="Calibri" w:cs="Calibri" w:eastAsia="Calibri"/>
          <w:color w:val="auto"/>
          <w:spacing w:val="0"/>
          <w:position w:val="0"/>
          <w:sz w:val="26"/>
          <w:shd w:fill="auto" w:val="clear"/>
        </w:rPr>
      </w:pPr>
    </w:p>
    <w:p>
      <w:pPr>
        <w:spacing w:before="0" w:after="0" w:line="276"/>
        <w:ind w:right="0" w:left="0" w:firstLine="0"/>
        <w:jc w:val="both"/>
        <w:rPr>
          <w:rFonts w:ascii="Calibri" w:hAnsi="Calibri" w:cs="Calibri" w:eastAsia="Calibri"/>
          <w:color w:val="auto"/>
          <w:spacing w:val="0"/>
          <w:position w:val="0"/>
          <w:sz w:val="26"/>
          <w:shd w:fill="auto" w:val="clear"/>
        </w:rPr>
      </w:pPr>
    </w:p>
    <w:p>
      <w:pPr>
        <w:spacing w:before="0" w:after="0" w:line="276"/>
        <w:ind w:right="0" w:left="0" w:firstLine="0"/>
        <w:jc w:val="both"/>
        <w:rPr>
          <w:rFonts w:ascii="Arial" w:hAnsi="Arial" w:cs="Arial" w:eastAsia="Arial"/>
          <w:color w:val="auto"/>
          <w:spacing w:val="0"/>
          <w:position w:val="0"/>
          <w:sz w:val="24"/>
          <w:shd w:fill="auto" w:val="clear"/>
        </w:rPr>
      </w:pPr>
      <w:r>
        <w:rPr>
          <w:rFonts w:ascii="Arial" w:hAnsi="Arial" w:cs="Arial" w:eastAsia="Arial"/>
          <w:i/>
          <w:color w:val="auto"/>
          <w:spacing w:val="0"/>
          <w:position w:val="0"/>
          <w:sz w:val="24"/>
          <w:shd w:fill="auto" w:val="clear"/>
        </w:rPr>
        <w:tab/>
        <w:t xml:space="preserve">Având în vedere prevederile</w:t>
      </w:r>
      <w:r>
        <w:rPr>
          <w:rFonts w:ascii="Arial" w:hAnsi="Arial" w:cs="Arial" w:eastAsia="Arial"/>
          <w:color w:val="auto"/>
          <w:spacing w:val="0"/>
          <w:position w:val="0"/>
          <w:sz w:val="24"/>
          <w:shd w:fill="auto" w:val="clear"/>
        </w:rPr>
        <w:t xml:space="preserve"> </w:t>
      </w:r>
      <w:r>
        <w:rPr>
          <w:rFonts w:ascii="Arial" w:hAnsi="Arial" w:cs="Arial" w:eastAsia="Arial"/>
          <w:i/>
          <w:color w:val="auto"/>
          <w:spacing w:val="0"/>
          <w:position w:val="0"/>
          <w:sz w:val="24"/>
          <w:shd w:fill="auto" w:val="clear"/>
        </w:rPr>
        <w:t xml:space="preserve">art. 68 alin. (1) lit. a) și b) din Legea nr. 51/1995 pentru organizarea și exercitarea profesiei de avocat,</w:t>
      </w:r>
    </w:p>
    <w:p>
      <w:pPr>
        <w:spacing w:before="0" w:after="0" w:line="276"/>
        <w:ind w:right="0" w:left="0" w:firstLine="720"/>
        <w:jc w:val="both"/>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În temeiul Hot</w:t>
      </w:r>
      <w:r>
        <w:rPr>
          <w:rFonts w:ascii="Arial" w:hAnsi="Arial" w:cs="Arial" w:eastAsia="Arial"/>
          <w:i/>
          <w:color w:val="auto"/>
          <w:spacing w:val="0"/>
          <w:position w:val="0"/>
          <w:sz w:val="24"/>
          <w:shd w:fill="auto" w:val="clear"/>
        </w:rPr>
        <w:t xml:space="preserve">ărârii Consiliului Uniunii Naționale a Barourilor din România (în continuare UNBR) nr. 326/17.02.2018, prin care s-a decis ca, în anul 2018, toate manifestările organizate de UNBR și barouri se vor desfășura sub deviza „Profesia de avocat din România la 100 de ani de la Marea Unire din 1918” și s-a aprobat Proiectul evenimentelor organizate sub egida Centenarului Marii Uniri, evenimente inițiate de UNBR sau la realizarea cărora este implicată UNBR, la cererea Barourilor;</w:t>
      </w:r>
    </w:p>
    <w:p>
      <w:pPr>
        <w:spacing w:before="0" w:after="0" w:line="276"/>
        <w:ind w:right="0" w:left="0" w:firstLine="720"/>
        <w:jc w:val="both"/>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Pentru a simboliza implicarea avocaților români în celebrarea Centenarului Marii Uniri și a sublinia contribuția avocaților la realizarea Marii Uniri, la des</w:t>
      </w:r>
      <w:r>
        <w:rPr>
          <w:rFonts w:ascii="Arial" w:hAnsi="Arial" w:cs="Arial" w:eastAsia="Arial"/>
          <w:i/>
          <w:color w:val="auto"/>
          <w:spacing w:val="0"/>
          <w:position w:val="0"/>
          <w:sz w:val="24"/>
          <w:shd w:fill="auto" w:val="clear"/>
        </w:rPr>
        <w:t xml:space="preserve">ăvârșirea unității și dezvoltării prin drept a Statului român modern,</w:t>
      </w:r>
    </w:p>
    <w:p>
      <w:pPr>
        <w:spacing w:before="0" w:after="0" w:line="276"/>
        <w:ind w:right="0" w:left="0" w:firstLine="0"/>
        <w:jc w:val="both"/>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ab/>
        <w:t xml:space="preserve">Comisia Permanent</w:t>
      </w:r>
      <w:r>
        <w:rPr>
          <w:rFonts w:ascii="Arial" w:hAnsi="Arial" w:cs="Arial" w:eastAsia="Arial"/>
          <w:i/>
          <w:color w:val="auto"/>
          <w:spacing w:val="0"/>
          <w:position w:val="0"/>
          <w:sz w:val="24"/>
          <w:shd w:fill="auto" w:val="clear"/>
        </w:rPr>
        <w:t xml:space="preserve">ă, în ședința convocată și desfășurată prin mijloace electronice (email) la 20-22.03.2018,</w:t>
      </w:r>
    </w:p>
    <w:p>
      <w:pPr>
        <w:spacing w:before="0" w:after="0" w:line="276"/>
        <w:ind w:right="0" w:left="0" w:firstLine="0"/>
        <w:jc w:val="center"/>
        <w:rPr>
          <w:rFonts w:ascii="Arial Black" w:hAnsi="Arial Black" w:cs="Arial Black" w:eastAsia="Arial Black"/>
          <w:b/>
          <w:color w:val="auto"/>
          <w:spacing w:val="0"/>
          <w:position w:val="0"/>
          <w:sz w:val="28"/>
          <w:shd w:fill="auto" w:val="clear"/>
        </w:rPr>
      </w:pPr>
      <w:r>
        <w:rPr>
          <w:rFonts w:ascii="Arial Black" w:hAnsi="Arial Black" w:cs="Arial Black" w:eastAsia="Arial Black"/>
          <w:b/>
          <w:color w:val="auto"/>
          <w:spacing w:val="0"/>
          <w:position w:val="0"/>
          <w:sz w:val="28"/>
          <w:shd w:fill="auto" w:val="clear"/>
        </w:rPr>
        <w:t xml:space="preserve">DECIDE:</w:t>
      </w:r>
    </w:p>
    <w:p>
      <w:pPr>
        <w:spacing w:before="0" w:after="0" w:line="276"/>
        <w:ind w:right="0" w:left="0" w:firstLine="0"/>
        <w:jc w:val="center"/>
        <w:rPr>
          <w:rFonts w:ascii="Arial" w:hAnsi="Arial" w:cs="Arial" w:eastAsia="Arial"/>
          <w:color w:val="auto"/>
          <w:spacing w:val="0"/>
          <w:position w:val="0"/>
          <w:sz w:val="24"/>
          <w:shd w:fill="auto" w:val="clear"/>
        </w:rPr>
      </w:pPr>
    </w:p>
    <w:p>
      <w:pPr>
        <w:spacing w:before="0" w:after="0" w:line="276"/>
        <w:ind w:right="0" w:left="0" w:firstLine="72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Art.1.</w:t>
      </w:r>
      <w:r>
        <w:rPr>
          <w:rFonts w:ascii="Arial" w:hAnsi="Arial" w:cs="Arial" w:eastAsia="Arial"/>
          <w:color w:val="auto"/>
          <w:spacing w:val="0"/>
          <w:position w:val="0"/>
          <w:sz w:val="24"/>
          <w:shd w:fill="auto" w:val="clear"/>
        </w:rPr>
        <w:t xml:space="preserve"> – Se instituie ”Sigiliul aniversar – Avocații români. Centenarul Marii Uniri”, care se identific</w:t>
      </w:r>
      <w:r>
        <w:rPr>
          <w:rFonts w:ascii="Arial" w:hAnsi="Arial" w:cs="Arial" w:eastAsia="Arial"/>
          <w:color w:val="auto"/>
          <w:spacing w:val="0"/>
          <w:position w:val="0"/>
          <w:sz w:val="24"/>
          <w:shd w:fill="auto" w:val="clear"/>
        </w:rPr>
        <w:t xml:space="preserve">ă vizual potrivit anexei nr.1 la prezenta Decizie.</w:t>
      </w:r>
    </w:p>
    <w:p>
      <w:pPr>
        <w:spacing w:before="0" w:after="0" w:line="276"/>
        <w:ind w:right="0" w:left="0" w:firstLine="72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Art.2.</w:t>
      </w:r>
      <w:r>
        <w:rPr>
          <w:rFonts w:ascii="Arial" w:hAnsi="Arial" w:cs="Arial" w:eastAsia="Arial"/>
          <w:color w:val="auto"/>
          <w:spacing w:val="0"/>
          <w:position w:val="0"/>
          <w:sz w:val="24"/>
          <w:shd w:fill="auto" w:val="clear"/>
        </w:rPr>
        <w:t xml:space="preserve"> – ”Sigiliul aniversar” va fi utilizat de UNBR, Barouri și instituțiile care sunt înființate prin lege și care funcționeaz</w:t>
      </w:r>
      <w:r>
        <w:rPr>
          <w:rFonts w:ascii="Arial" w:hAnsi="Arial" w:cs="Arial" w:eastAsia="Arial"/>
          <w:color w:val="auto"/>
          <w:spacing w:val="0"/>
          <w:position w:val="0"/>
          <w:sz w:val="24"/>
          <w:shd w:fill="auto" w:val="clear"/>
        </w:rPr>
        <w:t xml:space="preserve">ă sub coordonarea Uniunii Naționale a Barourilor din Romania pentru a marca evenimentele inițiate  sau la  realizarea cărora sunt implicați avocații în anul Centenarului Marii Uniri.</w:t>
      </w:r>
    </w:p>
    <w:p>
      <w:pPr>
        <w:spacing w:before="0" w:after="0" w:line="276"/>
        <w:ind w:right="0" w:left="0" w:firstLine="72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Art.3.</w:t>
      </w:r>
      <w:r>
        <w:rPr>
          <w:rFonts w:ascii="Arial" w:hAnsi="Arial" w:cs="Arial" w:eastAsia="Arial"/>
          <w:color w:val="auto"/>
          <w:spacing w:val="0"/>
          <w:position w:val="0"/>
          <w:sz w:val="24"/>
          <w:shd w:fill="auto" w:val="clear"/>
        </w:rPr>
        <w:t xml:space="preserve"> – Manualul de identitate vizual</w:t>
      </w:r>
      <w:r>
        <w:rPr>
          <w:rFonts w:ascii="Arial" w:hAnsi="Arial" w:cs="Arial" w:eastAsia="Arial"/>
          <w:color w:val="auto"/>
          <w:spacing w:val="0"/>
          <w:position w:val="0"/>
          <w:sz w:val="24"/>
          <w:shd w:fill="auto" w:val="clear"/>
        </w:rPr>
        <w:t xml:space="preserve">ă a ”Sigiliului aniversar – Avocații români. Centenarul Marii Uniri” este prevăzut în anexa nr. 2 la prezenta Decizie.</w:t>
      </w:r>
    </w:p>
    <w:p>
      <w:pPr>
        <w:spacing w:before="0" w:after="0" w:line="276"/>
        <w:ind w:right="0" w:left="0" w:firstLine="72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Art.4</w:t>
      </w:r>
      <w:r>
        <w:rPr>
          <w:rFonts w:ascii="Arial" w:hAnsi="Arial" w:cs="Arial" w:eastAsia="Arial"/>
          <w:color w:val="auto"/>
          <w:spacing w:val="0"/>
          <w:position w:val="0"/>
          <w:sz w:val="24"/>
          <w:shd w:fill="auto" w:val="clear"/>
        </w:rPr>
        <w:t xml:space="preserve"> – Prezenta decizie se va publica pe site-ul </w:t>
      </w:r>
      <w:hyperlink xmlns:r="http://schemas.openxmlformats.org/officeDocument/2006/relationships" r:id="docRId0">
        <w:r>
          <w:rPr>
            <w:rFonts w:ascii="Arial" w:hAnsi="Arial" w:cs="Arial" w:eastAsia="Arial"/>
            <w:color w:val="0000FF"/>
            <w:spacing w:val="0"/>
            <w:position w:val="0"/>
            <w:sz w:val="24"/>
            <w:u w:val="single"/>
            <w:shd w:fill="auto" w:val="clear"/>
          </w:rPr>
          <w:t xml:space="preserve">www.unbr.ro</w:t>
        </w:r>
      </w:hyperlink>
      <w:r>
        <w:rPr>
          <w:rFonts w:ascii="Arial" w:hAnsi="Arial" w:cs="Arial" w:eastAsia="Arial"/>
          <w:color w:val="auto"/>
          <w:spacing w:val="0"/>
          <w:position w:val="0"/>
          <w:sz w:val="24"/>
          <w:shd w:fill="auto" w:val="clear"/>
        </w:rPr>
        <w:t xml:space="preserve"> și se comunic</w:t>
      </w:r>
      <w:r>
        <w:rPr>
          <w:rFonts w:ascii="Arial" w:hAnsi="Arial" w:cs="Arial" w:eastAsia="Arial"/>
          <w:color w:val="auto"/>
          <w:spacing w:val="0"/>
          <w:position w:val="0"/>
          <w:sz w:val="24"/>
          <w:shd w:fill="auto" w:val="clear"/>
        </w:rPr>
        <w:t xml:space="preserve">ă  membrilor  Consiliului UNBR,  Barourilor, Casei de Asigurări a Avocaților-CAA și Institutului Național pentru Pregătirea și Perfecționarea Avocaților-INPPA.</w:t>
      </w:r>
    </w:p>
    <w:p>
      <w:pPr>
        <w:spacing w:before="0" w:after="0" w:line="276"/>
        <w:ind w:right="0" w:left="0" w:firstLine="0"/>
        <w:jc w:val="center"/>
        <w:rPr>
          <w:rFonts w:ascii="Arial" w:hAnsi="Arial" w:cs="Arial" w:eastAsia="Arial"/>
          <w:b/>
          <w:color w:val="auto"/>
          <w:spacing w:val="0"/>
          <w:position w:val="0"/>
          <w:sz w:val="24"/>
          <w:shd w:fill="auto" w:val="clear"/>
        </w:rPr>
      </w:pPr>
    </w:p>
    <w:p>
      <w:pPr>
        <w:spacing w:before="0" w:after="0" w:line="276"/>
        <w:ind w:right="0" w:left="0" w:firstLine="0"/>
        <w:jc w:val="center"/>
        <w:rPr>
          <w:rFonts w:ascii="Arial" w:hAnsi="Arial" w:cs="Arial" w:eastAsia="Arial"/>
          <w:b/>
          <w:color w:val="auto"/>
          <w:spacing w:val="0"/>
          <w:position w:val="0"/>
          <w:sz w:val="24"/>
          <w:shd w:fill="auto" w:val="clear"/>
        </w:rPr>
      </w:pPr>
    </w:p>
    <w:p>
      <w:pPr>
        <w:spacing w:before="0" w:after="0" w:line="276"/>
        <w:ind w:right="0" w:left="0" w:firstLine="0"/>
        <w:jc w:val="center"/>
        <w:rPr>
          <w:rFonts w:ascii="Arial" w:hAnsi="Arial" w:cs="Arial" w:eastAsia="Arial"/>
          <w:b/>
          <w:color w:val="auto"/>
          <w:spacing w:val="0"/>
          <w:position w:val="0"/>
          <w:sz w:val="24"/>
          <w:shd w:fill="auto" w:val="clear"/>
        </w:rPr>
      </w:pPr>
    </w:p>
    <w:p>
      <w:pPr>
        <w:spacing w:before="0" w:after="0" w:line="276"/>
        <w:ind w:right="29"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COMISIA PERMANENT</w:t>
      </w:r>
      <w:r>
        <w:rPr>
          <w:rFonts w:ascii="Arial" w:hAnsi="Arial" w:cs="Arial" w:eastAsia="Arial"/>
          <w:b/>
          <w:color w:val="auto"/>
          <w:spacing w:val="0"/>
          <w:position w:val="0"/>
          <w:sz w:val="28"/>
          <w:shd w:fill="auto" w:val="clear"/>
        </w:rPr>
        <w:t xml:space="preserve">Ă A  U.N.B.R.</w:t>
      </w: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Anexa nr.1 la Decizia Comisiei Permanente nr. 303/22.03.2018</w:t>
      </w:r>
    </w:p>
    <w:p>
      <w:pPr>
        <w:spacing w:before="0" w:after="0" w:line="240"/>
        <w:ind w:right="0" w:left="0" w:firstLine="0"/>
        <w:jc w:val="right"/>
        <w:rPr>
          <w:rFonts w:ascii="Arial" w:hAnsi="Arial" w:cs="Arial" w:eastAsia="Arial"/>
          <w:b/>
          <w:i/>
          <w:color w:val="auto"/>
          <w:spacing w:val="0"/>
          <w:position w:val="0"/>
          <w:sz w:val="28"/>
          <w:shd w:fill="auto" w:val="clear"/>
        </w:rPr>
      </w:pPr>
      <w:r>
        <w:rPr>
          <w:rFonts w:ascii="Arial" w:hAnsi="Arial" w:cs="Arial" w:eastAsia="Arial"/>
          <w:b/>
          <w:i/>
          <w:color w:val="auto"/>
          <w:spacing w:val="0"/>
          <w:position w:val="0"/>
          <w:sz w:val="24"/>
          <w:shd w:fill="auto" w:val="clear"/>
        </w:rPr>
        <w:t xml:space="preserve">”Sigiliul aniversar – Avocații români. Centenarul Marii Uniri”</w:t>
      </w: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r>
        <w:object w:dxaOrig="9112" w:dyaOrig="8524">
          <v:rect xmlns:o="urn:schemas-microsoft-com:office:office" xmlns:v="urn:schemas-microsoft-com:vml" id="rectole0000000000" style="width:455.600000pt;height:426.2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p>
    <w:p>
      <w:pPr>
        <w:spacing w:before="0" w:after="0" w:line="240"/>
        <w:ind w:right="0" w:left="0" w:firstLine="0"/>
        <w:jc w:val="righ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Anexa nr.2 la Decizia Comisiei Permanente nr. 303/22.03.2018</w:t>
      </w:r>
    </w:p>
    <w:p>
      <w:pPr>
        <w:spacing w:before="0" w:after="0" w:line="240"/>
        <w:ind w:right="0" w:left="0" w:firstLine="0"/>
        <w:jc w:val="righ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Manualul de identitate vizual</w:t>
      </w:r>
      <w:r>
        <w:rPr>
          <w:rFonts w:ascii="Arial" w:hAnsi="Arial" w:cs="Arial" w:eastAsia="Arial"/>
          <w:color w:val="auto"/>
          <w:spacing w:val="0"/>
          <w:position w:val="0"/>
          <w:sz w:val="24"/>
          <w:shd w:fill="auto" w:val="clear"/>
        </w:rPr>
        <w:t xml:space="preserve">ă a ”Sigiliului aniversar – Avocații români. Centenarul Marii Uniri”</w: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3190" w:dyaOrig="9325">
          <v:rect xmlns:o="urn:schemas-microsoft-com:office:office" xmlns:v="urn:schemas-microsoft-com:vml" id="rectole0000000001" style="width:659.500000pt;height:466.2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240"/>
        <w:ind w:right="0" w:left="0" w:firstLine="0"/>
        <w:jc w:val="right"/>
        <w:rPr>
          <w:rFonts w:ascii="Arial" w:hAnsi="Arial" w:cs="Arial" w:eastAsia="Arial"/>
          <w:color w:val="auto"/>
          <w:spacing w:val="0"/>
          <w:position w:val="0"/>
          <w:sz w:val="24"/>
          <w:shd w:fill="auto" w:val="clear"/>
        </w:rPr>
      </w:pPr>
      <w:r>
        <w:object w:dxaOrig="13183" w:dyaOrig="9321">
          <v:rect xmlns:o="urn:schemas-microsoft-com:office:office" xmlns:v="urn:schemas-microsoft-com:vml" id="rectole0000000002" style="width:659.150000pt;height:466.0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3051" w:dyaOrig="9227">
          <v:rect xmlns:o="urn:schemas-microsoft-com:office:office" xmlns:v="urn:schemas-microsoft-com:vml" id="rectole0000000003" style="width:652.550000pt;height:461.3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2878" w:dyaOrig="9105">
          <v:rect xmlns:o="urn:schemas-microsoft-com:office:office" xmlns:v="urn:schemas-microsoft-com:vml" id="rectole0000000004" style="width:643.900000pt;height:455.2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2756" w:dyaOrig="9019">
          <v:rect xmlns:o="urn:schemas-microsoft-com:office:office" xmlns:v="urn:schemas-microsoft-com:vml" id="rectole0000000005" style="width:637.800000pt;height:450.9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2573" w:dyaOrig="8889">
          <v:rect xmlns:o="urn:schemas-microsoft-com:office:office" xmlns:v="urn:schemas-microsoft-com:vml" id="rectole0000000006" style="width:628.650000pt;height:444.4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2838" w:dyaOrig="9076">
          <v:rect xmlns:o="urn:schemas-microsoft-com:office:office" xmlns:v="urn:schemas-microsoft-com:vml" id="rectole0000000007" style="width:641.900000pt;height:453.8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2878" w:dyaOrig="9105">
          <v:rect xmlns:o="urn:schemas-microsoft-com:office:office" xmlns:v="urn:schemas-microsoft-com:vml" id="rectole0000000008" style="width:643.900000pt;height:455.2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Model „Foaie cu antet” pentru Centenar </w:t>
      </w:r>
    </w:p>
    <w:p>
      <w:pPr>
        <w:spacing w:before="0" w:after="0" w:line="240"/>
        <w:ind w:right="0" w:left="0" w:firstLine="0"/>
        <w:jc w:val="right"/>
        <w:rPr>
          <w:rFonts w:ascii="Arial" w:hAnsi="Arial" w:cs="Arial" w:eastAsia="Arial"/>
          <w:color w:val="auto"/>
          <w:spacing w:val="0"/>
          <w:position w:val="0"/>
          <w:sz w:val="24"/>
          <w:shd w:fill="auto" w:val="clear"/>
        </w:rPr>
      </w:pPr>
    </w:p>
    <w:p>
      <w:pPr>
        <w:spacing w:before="0" w:after="0" w:line="240"/>
        <w:ind w:right="0" w:left="0" w:firstLine="0"/>
        <w:jc w:val="right"/>
        <w:rPr>
          <w:rFonts w:ascii="Arial" w:hAnsi="Arial" w:cs="Arial" w:eastAsia="Arial"/>
          <w:color w:val="auto"/>
          <w:spacing w:val="0"/>
          <w:position w:val="0"/>
          <w:sz w:val="24"/>
          <w:shd w:fill="auto" w:val="clear"/>
        </w:rPr>
      </w:pPr>
      <w:r>
        <w:object w:dxaOrig="10127" w:dyaOrig="13106">
          <v:rect xmlns:o="urn:schemas-microsoft-com:office:office" xmlns:v="urn:schemas-microsoft-com:vml" id="rectole0000000009" style="width:506.350000pt;height:655.3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8.bin" Id="docRId17" Type="http://schemas.openxmlformats.org/officeDocument/2006/relationships/oleObject"/><Relationship Target="embeddings/oleObject3.bin" Id="docRId7" Type="http://schemas.openxmlformats.org/officeDocument/2006/relationships/oleObject"/><Relationship Target="media/image6.wmf" Id="docRId14" Type="http://schemas.openxmlformats.org/officeDocument/2006/relationships/image"/><Relationship Target="media/image2.wmf" Id="docRId6" Type="http://schemas.openxmlformats.org/officeDocument/2006/relationships/image"/><Relationship Target="embeddings/oleObject0.bin" Id="docRId1" Type="http://schemas.openxmlformats.org/officeDocument/2006/relationships/oleObject"/><Relationship Target="embeddings/oleObject5.bin" Id="docRId11" Type="http://schemas.openxmlformats.org/officeDocument/2006/relationships/oleObject"/><Relationship Target="embeddings/oleObject7.bin" Id="docRId15" Type="http://schemas.openxmlformats.org/officeDocument/2006/relationships/oleObject"/><Relationship Target="embeddings/oleObject9.bin" Id="docRId19" Type="http://schemas.openxmlformats.org/officeDocument/2006/relationships/oleObject"/><Relationship Target="styles.xml" Id="docRId22" Type="http://schemas.openxmlformats.org/officeDocument/2006/relationships/styles"/><Relationship Target="embeddings/oleObject2.bin" Id="docRId5" Type="http://schemas.openxmlformats.org/officeDocument/2006/relationships/oleObject"/><Relationship Target="embeddings/oleObject4.bin" Id="docRId9" Type="http://schemas.openxmlformats.org/officeDocument/2006/relationships/oleObject"/><Relationship TargetMode="External" Target="http://www.unbr.ro/" Id="docRId0" Type="http://schemas.openxmlformats.org/officeDocument/2006/relationships/hyperlink"/><Relationship Target="media/image5.wmf" Id="docRId12" Type="http://schemas.openxmlformats.org/officeDocument/2006/relationships/image"/><Relationship Target="media/image7.wmf" Id="docRId16" Type="http://schemas.openxmlformats.org/officeDocument/2006/relationships/image"/><Relationship Target="numbering.xml" Id="docRId21" Type="http://schemas.openxmlformats.org/officeDocument/2006/relationships/numbering"/><Relationship Target="media/image1.wmf" Id="docRId4" Type="http://schemas.openxmlformats.org/officeDocument/2006/relationships/image"/><Relationship Target="media/image3.wmf" Id="docRId8" Type="http://schemas.openxmlformats.org/officeDocument/2006/relationships/image"/><Relationship Target="embeddings/oleObject6.bin" Id="docRId13" Type="http://schemas.openxmlformats.org/officeDocument/2006/relationships/oleObject"/><Relationship Target="media/image9.wmf" Id="docRId20" Type="http://schemas.openxmlformats.org/officeDocument/2006/relationships/image"/><Relationship Target="embeddings/oleObject1.bin" Id="docRId3" Type="http://schemas.openxmlformats.org/officeDocument/2006/relationships/oleObject"/><Relationship Target="media/image4.wmf" Id="docRId10" Type="http://schemas.openxmlformats.org/officeDocument/2006/relationships/image"/><Relationship Target="media/image8.wmf" Id="docRId18" Type="http://schemas.openxmlformats.org/officeDocument/2006/relationships/image"/><Relationship Target="media/image0.wmf" Id="docRId2" Type="http://schemas.openxmlformats.org/officeDocument/2006/relationships/image"/></Relationships>
</file>